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Goat IFN-γ(High Sensitivity)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1.95–125pg/ml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＜0.35pg/ml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125.0</w:t>
            </w:r>
          </w:p>
        </w:tc>
        <w:tc>
          <w:tcPr>
            <w:tcW w:w="1036" w:type="dxa"/>
          </w:tcPr>
          <w:p w14:paraId="24BBDB38" w14:textId="72E84AC2" w:rsidR="0020666B" w:rsidRDefault="0020666B" w:rsidP="0020666B">
            <w:r>
              <w:rPr>
                <w:rFonts w:hint="eastAsia"/>
              </w:rPr>
              <w:t xml:space="preserve">62.5</w:t>
            </w:r>
          </w:p>
        </w:tc>
        <w:tc>
          <w:tcPr>
            <w:tcW w:w="1036" w:type="dxa"/>
          </w:tcPr>
          <w:p w14:paraId="55D5BDBF" w14:textId="23EBF6B9" w:rsidR="0020666B" w:rsidRDefault="0020666B" w:rsidP="0020666B">
            <w:r>
              <w:rPr>
                <w:rFonts w:hint="eastAsia"/>
              </w:rPr>
              <w:t xml:space="preserve">31.25</w:t>
            </w:r>
          </w:p>
        </w:tc>
        <w:tc>
          <w:tcPr>
            <w:tcW w:w="1036" w:type="dxa"/>
          </w:tcPr>
          <w:p w14:paraId="03DD3064" w14:textId="6E866D4D" w:rsidR="0020666B" w:rsidRDefault="0020666B" w:rsidP="0020666B">
            <w:r>
              <w:rPr>
                <w:rFonts w:hint="eastAsia"/>
              </w:rPr>
              <w:t xml:space="preserve">15.62</w:t>
            </w:r>
          </w:p>
        </w:tc>
        <w:tc>
          <w:tcPr>
            <w:tcW w:w="1036" w:type="dxa"/>
          </w:tcPr>
          <w:p w14:paraId="5796244C" w14:textId="6D5C4B19" w:rsidR="0020666B" w:rsidRDefault="0020666B" w:rsidP="0020666B">
            <w:r>
              <w:rPr>
                <w:rFonts w:hint="eastAsia"/>
              </w:rPr>
              <w:t xml:space="preserve">7.81</w:t>
            </w:r>
          </w:p>
        </w:tc>
        <w:tc>
          <w:tcPr>
            <w:tcW w:w="1036" w:type="dxa"/>
          </w:tcPr>
          <w:p w14:paraId="35FB6BC0" w14:textId="6220AB0E" w:rsidR="0020666B" w:rsidRDefault="0020666B" w:rsidP="0020666B">
            <w:r>
              <w:rPr>
                <w:rFonts w:hint="eastAsia"/>
              </w:rPr>
              <w:t xml:space="preserve">3.91</w:t>
            </w:r>
          </w:p>
        </w:tc>
        <w:tc>
          <w:tcPr>
            <w:tcW w:w="1037" w:type="dxa"/>
          </w:tcPr>
          <w:p w14:paraId="09616D0F" w14:textId="69ED7A8C" w:rsidR="0020666B" w:rsidRDefault="0020666B" w:rsidP="0020666B">
            <w:r>
              <w:rPr>
                <w:rFonts w:hint="eastAsia"/>
              </w:rPr>
              <w:t xml:space="preserve">1.95</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1973年Younger和Salvin发现来自淋巴细胞培养上清中存在一种IFN，但抗原性不同于发现的IFN，遂命名Ⅱ型IFN，1980年统一命名为γ干扰素。IFN-γ诱导巨噬细胞可诱导性一氧化氮合酶（iNOS）产生，促进NO的合成，IFN-γ还可诱导小胶质细胞星形细胞的iNOS产生，可能与中枢神经系统的某些疾病的发生或保护作用有关。IFN在完全没有内毒素时不能刺激IL-1转录，反而在转录水平抑制IL-1自身诱导的IL-1产生，但IFN-γ可增加LPS诱导的IL-1转录翻译和分泌，IFN-γ具有抗病毒，抗肿瘤和免疫调控的作用。它可以调控30个基因的表达水平，产生多种的细胞反应。</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Goat IFN-γ(High Sensitivity)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1.95–125pg/ml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＜0.35pg/ml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125.0</w:t>
            </w:r>
          </w:p>
        </w:tc>
        <w:tc>
          <w:tcPr>
            <w:tcW w:w="1036" w:type="dxa"/>
          </w:tcPr>
          <w:p w14:paraId="33755271" w14:textId="1EFC7D0D" w:rsidR="0020666B" w:rsidRDefault="0020666B" w:rsidP="0020666B">
            <w:r>
              <w:rPr>
                <w:rFonts w:hint="eastAsia"/>
              </w:rPr>
              <w:t xml:space="preserve">62.5</w:t>
            </w:r>
          </w:p>
        </w:tc>
        <w:tc>
          <w:tcPr>
            <w:tcW w:w="1036" w:type="dxa"/>
          </w:tcPr>
          <w:p w14:paraId="36E88A46" w14:textId="1C2D2238" w:rsidR="0020666B" w:rsidRDefault="0020666B" w:rsidP="0020666B">
            <w:r>
              <w:rPr>
                <w:rFonts w:hint="eastAsia"/>
              </w:rPr>
              <w:t xml:space="preserve">31.25</w:t>
            </w:r>
          </w:p>
        </w:tc>
        <w:tc>
          <w:tcPr>
            <w:tcW w:w="1036" w:type="dxa"/>
          </w:tcPr>
          <w:p w14:paraId="120D7560" w14:textId="63DD4A8B" w:rsidR="0020666B" w:rsidRDefault="0020666B" w:rsidP="0020666B">
            <w:r>
              <w:rPr>
                <w:rFonts w:hint="eastAsia"/>
              </w:rPr>
              <w:t xml:space="preserve">15.62</w:t>
            </w:r>
          </w:p>
        </w:tc>
        <w:tc>
          <w:tcPr>
            <w:tcW w:w="1036" w:type="dxa"/>
          </w:tcPr>
          <w:p w14:paraId="295CA477" w14:textId="786D982A" w:rsidR="0020666B" w:rsidRDefault="0020666B" w:rsidP="0020666B">
            <w:r>
              <w:rPr>
                <w:rFonts w:hint="eastAsia"/>
              </w:rPr>
              <w:t xml:space="preserve">7.81</w:t>
            </w:r>
          </w:p>
        </w:tc>
        <w:tc>
          <w:tcPr>
            <w:tcW w:w="1036" w:type="dxa"/>
          </w:tcPr>
          <w:p w14:paraId="621E32BC" w14:textId="2C7EA383" w:rsidR="0020666B" w:rsidRDefault="0020666B" w:rsidP="0020666B">
            <w:r>
              <w:rPr>
                <w:rFonts w:hint="eastAsia"/>
              </w:rPr>
              <w:t xml:space="preserve">3.91</w:t>
            </w:r>
          </w:p>
        </w:tc>
        <w:tc>
          <w:tcPr>
            <w:tcW w:w="1037" w:type="dxa"/>
          </w:tcPr>
          <w:p w14:paraId="3B8D3768" w14:textId="533E9424" w:rsidR="0020666B" w:rsidRDefault="0020666B" w:rsidP="0020666B">
            <w:r>
              <w:rPr>
                <w:rFonts w:hint="eastAsia"/>
              </w:rPr>
              <w:t xml:space="preserve">1.95</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In 1973, younger and Salvin found that there was an IFN in the supernatant from lymphocyte culture, but its antigenicity was different from that found, so they named it type II IFN, which was uniformly named in 1980 γ Interferon. IFN- γ Induce the production of inducible nitric oxide synthase (iNOS) in macrophages and promote the synthesis of no, IFN- γ It can also induce iNOS production of microglia and astrocytes, which may be related to the occurrence or protective effect of some diseases of the central nervous system. IFN could not stimulate IL-1 transcription in the absence of endotoxin, but inhibited IL-1 production induced by IL-1 itself at the transcriptional level- γ It can increase LPS induced IL-1 transcription, translation and secretion, IFN- γ It has the effects of antiviral, antitumor and immune regulation. It can regulate the expression level of 30 genes and produce a variety of cellular responses.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