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Bovine Cortisol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简介：氢化可的松，又称皮质醇，是从肾上腺皮质中提取出的是对糖类代谢具有最强作用的肾上腺皮质激素，即属于糖皮质激素的一种。</w:t>
        <w:br/>
        <w:t xml:space="preserve">皮质醇有时用来专指基本的“应激激素”。皮质醇是通过肾上腺皮质线粒体中的11β-羟化酶的作用，由11-脱氧皮质醇生成。皮质醇也可通过11-β-羟类固醇脱氢酶的作用变成皮质素。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Bovine Cortisol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Hydrocortisone, also known as cortisol, is an adrenocortical hormone extracted from the adrenal cortex, which has the strongest effect on carbohydrate metabolism, that is, it belongs to a kind of glucocorticoid.Cortisol is sometimes used to refer specifically to the basic "stress hormones". Cortisol is regulated by 11 β- Hydroxylase is produced by 11 deoxycortisol. Cortisol can also pass 11- β- Effect of hydroxysteroid dehydrogenase on corticosteroids.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